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C0D2E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BC0D2E" w:rsidRDefault="00105CF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BC0D2E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  <w:tr w:rsidR="00BC0D2E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BC0D2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BC0D2E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BC0D2E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  <w:tr w:rsidR="00BC0D2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</w:tr>
      <w:tr w:rsidR="00BC0D2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03564677</w:t>
            </w:r>
          </w:p>
        </w:tc>
      </w:tr>
      <w:tr w:rsidR="00BC0D2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</w:tr>
      <w:tr w:rsidR="00BC0D2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0"/>
              </w:rPr>
            </w:pPr>
          </w:p>
        </w:tc>
      </w:tr>
      <w:tr w:rsidR="00BC0D2E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Управление потребительского рынка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администрации города Липецка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629</w:t>
            </w:r>
          </w:p>
        </w:tc>
      </w:tr>
      <w:tr w:rsidR="00BC0D2E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  <w:tr w:rsidR="00BC0D2E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 (ВИД=ГОР)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C0D2E" w:rsidRDefault="00105CF4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42701000001</w:t>
            </w:r>
          </w:p>
        </w:tc>
      </w:tr>
      <w:tr w:rsidR="00BC0D2E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  <w:tr w:rsidR="00BC0D2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BC0D2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  <w:tr w:rsidR="00BC0D2E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</w:tbl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 "Организационная структура субъекта бюджетной отчетности"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tbl>
      <w:tblPr>
        <w:tblW w:w="98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C0D2E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ind w:firstLine="7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Управление потребительского рынка администрации города Липецка создано на основании распоряжения администрации города Липецка от 18.05.2016 года № 316-р.</w:t>
            </w:r>
          </w:p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  Учредитель - Администрация города Липецка.</w:t>
            </w:r>
          </w:p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    Телефон управления: (4742) 239-131. Начальник управления - Мамонов Антон Владимирович назначен на должность распоряжением администрации города Липецка от 28.01.2025г. №16-л.</w:t>
            </w:r>
          </w:p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   Для осуществления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воей деятельности управлению потребительского рынка администрации города Липецка в Управлении Федерального казначейства по Липецкой области открыты следующие счета:</w:t>
            </w:r>
          </w:p>
          <w:p w:rsidR="00BC0D2E" w:rsidRDefault="00105CF4">
            <w:pPr>
              <w:ind w:firstLine="7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лицевые счета получателя бюджетных средств 03629004710, 03629сб4710, 03629зф4710;</w:t>
            </w:r>
          </w:p>
          <w:p w:rsidR="00BC0D2E" w:rsidRDefault="00105CF4">
            <w:pPr>
              <w:ind w:firstLine="7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лицев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счет администратора доходов бюджета 04463D50110;</w:t>
            </w:r>
          </w:p>
          <w:p w:rsidR="00BC0D2E" w:rsidRDefault="00105CF4">
            <w:pPr>
              <w:ind w:firstLine="7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лицевой счет для учета операций со средствами, поступающими во временное распоряжение получателя бюджетных средств 05629004710.</w:t>
            </w:r>
          </w:p>
          <w:p w:rsidR="00BC0D2E" w:rsidRDefault="00105CF4">
            <w:pPr>
              <w:ind w:firstLine="7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C0D2E" w:rsidRDefault="00105CF4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Перечень основных нормативных правовых актов, регламентирующих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деятельность субъекта отчетности:</w:t>
            </w:r>
          </w:p>
          <w:p w:rsidR="00BC0D2E" w:rsidRDefault="00105CF4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</w:tbl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 В своей деятельности Управление руководствуется Конституцией РФ, законодательством РФ и Липецкой области, Уставом города Липецка, муниципальными и правовыми актами города Липецка, Положением управления.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Функции и задачи субъекта отчетности: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задачей Управления является: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   - создание условий для обеспечения жителей города Липецка услугами торговли, общественного питания и бытового обслуживания.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передаче полномочий по ведени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ю бухгалтерского учета иному учреждению (централизованной бухгалтерии) на основании соглашения: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 В соответствии с постановлением администрации города Липецка от 30.06.2020 года №944 "О передаче департаменту финансов администрации города Липецка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полномочий администрации города Липецка, отраслевых (функциональных) органов администрации города Липецка и подведомственных им казенных учреждений по начислению физическим лицам выплат по оплате труда и иных выплат, по ведению бюджетного учета" ведение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юджетного учета и составление бюджетной отчетности в управлении потребительского рынка администрации города Липецка осуществляет МКУ "Межведомственный центр учета города Липецка" на основании соглашения №7/24 от 29.12.2023 г. в рамках своих полномочий.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Директор - И.Л. Мамонова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Главный бухгалтер - Н.В. Лазнева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Бюджетный учет финансово-хозяйственной деятельности ведется в соответствии с Федеральным Законом "О бухгалтерском учете" от 06.12.2011 г. № 402-ФЗ, Приказом Министерства финансов РФ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31.12.2016 г. № 256н "Концептуальные основы бухгалтерского учета и отчетности организаций государственного сектора", федеральными стандартами, инструкциями по бюджетному учету, утвержденными приказами Министерства финансов РФ от 01.12.2010 г. № 157н "О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(муниципальных) учреждений и Инструкции по его применению" и от 06.12.2010 г. № 162н "Об утверждении Плана счетов бюджетного учета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Инструкции по его применению" в рамках единой учетной политики, утвержденной МКУ "Межведомственный центр учета города Липе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цка" и применяемой при централизации бухгалтерского (бюджетного) учета бюджетных и автономных учреждений, администрации города, отраслевых (функциональных) органов администрации города и их подведомственных казенных учреждений.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Единой учетной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литикой </w:t>
      </w: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установлены следующие положения, необходимые для понимания пользователями бухгалтерской (финансовой) отчетности финансового положения, финансовых результатов деятельности и движения денежных средств в отношении способов оценки активов, обязательств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доходов и расходов: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начисление амортизации объектов основных средств осуществляется линейным методом.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 учет на забалансовом счете 21 "Основные средства в эксплуатации" ведется по балансовой стоимости введенных в эксплуатацию объектов.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при поступле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нии объектов нефинансовых активов, полученных в рамках необменных операций (дарения (безвозмездного получения); при выявлении в ходе инвентаризации неучтенных объектов, по которым утрачены приходные документы), справедливая стоимость объектов имущества опр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еделяется комиссией по поступлению и выбытию активов методом рыночных цен</w:t>
      </w:r>
      <w:bookmarkStart w:id="2" w:name="_dx_frag_EndFragment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Бюджетный учет ведется автоматизированным способом по всем участкам бухгалтерского учета с использованием следующих программных продуктов: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«1С: Бухгалтерия государственного 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реждения» – для комплексной автоматизации бюджетного учета, формирования налоговой отчетности, отчетности по страховым взносам на обязательное пенсионное, обязательное социальное и обязательное медицинское страхование, статистической отчетности;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«1С: Зар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плата и кадры государственного учреждения» - для комплексной автоматизации кадрового учета, ведения взаиморасчетов с работниками, а также учета затрат на оплату труда, формирования регламентированной и аналитической отчетности;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Программный комплекс «Конс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олидированная отчетность субъекта в СМАРТ технологии (Свод – СМАРТ)» - для составления бюджетной отчетности учреждений и сводной бюджетной (бухгалтерской) отчетности;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«Web-система СБИС» отчетность - для передачи налоговой, статистической прочей отчетнос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в инспекцию федеральной налоговой службы, орган государственной статистики и государственные внебюджетные фонды.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      Отчетность по состоянию на 01.01.2026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 представлена в соответствии с Приказом Министерства финансов РФ от 28.12.2010г. №191н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ации", приказом Министерства финансов РФ от 31.12.2016 года №260н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отчетности".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Ответственным лицом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бюджетной отчетности является заместитель начальника отдела формирования отчетности и внутреннего контроля МКУ "Межведомственный центр учета города Липецка" Кельсикова О.В.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"Результаты деятельности субъекта бюджетной отчетности"</w:t>
      </w:r>
    </w:p>
    <w:p w:rsidR="00BC0D2E" w:rsidRDefault="00105CF4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специалистами управления проводился мониторинг розничных цен на отдельные виды социально значимых продовольственных товаров первой необходимости, а также мониторинг минимальных и максимальных розничных цен на продовольственные товары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соответствии с законодательством Российской Федерации и Липецкой области.</w:t>
      </w:r>
    </w:p>
    <w:p w:rsidR="00BC0D2E" w:rsidRDefault="00105CF4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вышеуказанный период проведено 48 мероприятий в результате которых обследовано 216 торговых объектов (федеральные и локальные сети, рынки, магазины шаговой доступности, нестацион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арные торговые объекты), мониторинг осуществлен в отношении 6700 товарных позиций. Результаты проводимого мониторинга ежемесячно направляются в Министерство торговли и ценовой политики Липецкой области для проведения анализа состояния цен по Липецкой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в целом и по ее отдельным муниципальным образованиям.</w:t>
      </w:r>
    </w:p>
    <w:p w:rsidR="00BC0D2E" w:rsidRDefault="00105CF4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Постановлениями администрации города Липецка от 18.12.2017 № 2514 «Об утверждении схемы размещения нестационарных торговых объектов разносной и развозной торговли на территории города Липецка», от 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.12.2017 № 2515  «Об утверждении схемы размещения нестационарных торговых объектов киосков и павильонов на территории города Липецка» утверждены соответствующие схемы размещения нестационарных торговых объектов, которыми определено 1131 место размещения 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осков, павильонов, торговых автоматов и 325 мест размещения объектов разносной и развозной торговли.</w:t>
      </w:r>
    </w:p>
    <w:p w:rsidR="00BC0D2E" w:rsidRDefault="00105CF4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действующих договоров на размещение киосков, павильонов на 31.12.2025 года составило 619 шт., так же в 2025 году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управлением потребительского 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 было заключено 83 договора на размещение объектов разносной и развозной торговли.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В 2025 году на территории города Липецка организовано 23 ярмарочных площадки. На ярмарках предусмотрено 841 торговое место, из них 168 мест предоставляется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продукции ЛПХ на безвозмездной основе.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  В отчетном году управление не являлось налогоплательщиком по налогу на землю, имущественному налогу и транспортному налогу.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Основные фонды управления потребительского рынка администрац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города Липецка соответствуют требованиям безопасности. Рабочие места сотрудников оснащены современным оборудованием (компьютерной техникой) в полном объеме. Основные средства, непригодные к эксплуатации в связи с моральным и (или) физическим износом и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ецелесообразностью их ремонта, списаны с балансового учета. Приобретение основных средств осуществляется своевременно, согласно плана-графика закупок. Комплектация основных средств полностью соответствует своим техническим характеристикам.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ind w:firstLine="7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благот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ворительной (спонсорской) помощи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546"/>
        <w:gridCol w:w="966"/>
        <w:gridCol w:w="1740"/>
        <w:gridCol w:w="1546"/>
        <w:gridCol w:w="1451"/>
        <w:gridCol w:w="1547"/>
      </w:tblGrid>
      <w:tr w:rsidR="00BC0D2E">
        <w:trPr>
          <w:trHeight w:val="524"/>
        </w:trPr>
        <w:tc>
          <w:tcPr>
            <w:tcW w:w="4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4550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</w:tr>
      <w:tr w:rsidR="00BC0D2E">
        <w:trPr>
          <w:trHeight w:val="496"/>
        </w:trPr>
        <w:tc>
          <w:tcPr>
            <w:tcW w:w="40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13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денежном выражении</w:t>
            </w:r>
          </w:p>
        </w:tc>
        <w:tc>
          <w:tcPr>
            <w:tcW w:w="32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натуральном выражении</w:t>
            </w:r>
          </w:p>
        </w:tc>
      </w:tr>
      <w:tr w:rsidR="00BC0D2E">
        <w:trPr>
          <w:trHeight w:val="524"/>
        </w:trPr>
        <w:tc>
          <w:tcPr>
            <w:tcW w:w="40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спонсора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(руб.)</w:t>
            </w:r>
          </w:p>
        </w:tc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спонсора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объекта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(руб.)</w:t>
            </w:r>
          </w:p>
        </w:tc>
      </w:tr>
      <w:tr w:rsidR="00BC0D2E">
        <w:trPr>
          <w:trHeight w:val="496"/>
        </w:trPr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ООО "Кузьминки"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Чипсы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9,201кг.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16 283,66</w:t>
            </w:r>
          </w:p>
        </w:tc>
      </w:tr>
    </w:tbl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 "Анализ отчета об исполнении бюджета субъекта бюджетной отчетности"</w:t>
      </w:r>
    </w:p>
    <w:p w:rsidR="00BC0D2E" w:rsidRDefault="00105CF4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0503123 "Отчет о движении денежных средств"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 По форме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"Отчет о движении денежных средств" показатели раздела 1 "Поступления", раздела 2 "Выбытия", раздела 3 "Изменение остатков средств", раздела 4 "Аналитическая информация" соответствует показателям формы 0503127 "Отчет об исполнении бюджета". 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По стр.50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 отражено поступления денежных средств в сумме (-) 20 010 104,12 рублей, в том числе: поступление денежных средств во временном распоряжении - 432 095,34 рублей, поступление денежных средств в доход бюджета - 19 359 363,26 рублей, уточнение поступивших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невыясненные платежи сумм денежных средств - 218 496,52 рублей, восстановление кассовых расходов - 149,00 рублей.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По стр.5020 отражено выбытие денежных средств в сумме 21 560 938,33 рублей, в том числе: выбытие денежных средств - 20 890 695,81 рубл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 выбытие денежных средств во временном распоряжении - 451 597,00 рублей, уточнение поступивших на невыясненные платежи сумм денежных средств - 218 496,52 рублей, восстановление кассовых расходов - 149,00 рублей.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0503127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EFE"/>
        </w:rPr>
        <w:t>"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об исполнении бюдж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бюджета"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Отчет об исполнении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содержит данные о бюджетных назначе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ниях по доходам, расходам, источникам финансирования дефицита бюджета.</w:t>
      </w:r>
    </w:p>
    <w:p w:rsidR="00BC0D2E" w:rsidRDefault="00105CF4">
      <w:pPr>
        <w:spacing w:after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01.01.2026 года утверждено бюджетных ассигнований в сумме 19 694 000,00 рублей, исполнено 19 359 363,26 рублей: </w:t>
      </w:r>
    </w:p>
    <w:p w:rsidR="00BC0D2E" w:rsidRDefault="00105CF4">
      <w:pPr>
        <w:spacing w:after="120"/>
        <w:ind w:firstLine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КБК 11109080040000120 в сумме 19 171 243,12 рублей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плата, поступившая в рамках договора за предоставление права на размещение и эксплуатацию нестационарного торгового объекта;</w:t>
      </w:r>
    </w:p>
    <w:p w:rsidR="00BC0D2E" w:rsidRDefault="00105CF4">
      <w:pPr>
        <w:spacing w:after="120"/>
        <w:ind w:firstLine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КБК 11302994040000130 в сумме 144 586,66 рублей - прочие доходы от компенсации затрат бюджетов городских округов </w:t>
      </w:r>
    </w:p>
    <w:p w:rsidR="00BC0D2E" w:rsidRDefault="00105CF4">
      <w:pPr>
        <w:spacing w:after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- 49 500,00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 поступление от Загуменнова А.М., исполнительный документ от 24.12.2024 № ВС 101382798; </w:t>
      </w:r>
    </w:p>
    <w:p w:rsidR="00BC0D2E" w:rsidRDefault="00105CF4">
      <w:pPr>
        <w:spacing w:after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- 10 000,00 рублей поступление от Гридиной И.И., исполнительный документ от 18.11.2024 № ФС 047089154); </w:t>
      </w:r>
    </w:p>
    <w:p w:rsidR="00BC0D2E" w:rsidRDefault="00105CF4">
      <w:pPr>
        <w:spacing w:after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- 49 500,00 рублей поступление от Гридиной И.И, исполнит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ельный документ от 18.03.2025 № ВС 104141027; </w:t>
      </w:r>
    </w:p>
    <w:p w:rsidR="00BC0D2E" w:rsidRDefault="00105CF4">
      <w:pPr>
        <w:spacing w:after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- 35 586,66 рублей поступление от Гаспарян Микаела Оганнесовича - возмещение расходов, понесенных при перемещении (переносе) объекта);</w:t>
      </w:r>
    </w:p>
    <w:p w:rsidR="00BC0D2E" w:rsidRDefault="00105CF4">
      <w:pPr>
        <w:spacing w:after="120"/>
        <w:ind w:firstLine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КБК 11701040040000180 в сумме 43 533,48 рублей - невыясненные поступл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ения, зачисляемые в бюджеты городских округов: </w:t>
      </w:r>
    </w:p>
    <w:p w:rsidR="00BC0D2E" w:rsidRDefault="00105CF4">
      <w:pPr>
        <w:spacing w:after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(-)1 003,00 рублей от Викторовой А.В. уведомлением об уточнении вида и принадлежности платежа №7 от 10.01.2025; </w:t>
      </w:r>
    </w:p>
    <w:p w:rsidR="00BC0D2E" w:rsidRDefault="00105CF4">
      <w:pPr>
        <w:spacing w:after="1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- 44 536,48 рублей - 25.12.2025 г. возврат положительного сальдо единого налогового счета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контрагента УФК по Тульской области (Межрегиональная инспекция Федеральной налоговой службы по управлению долгом) в счет доходов бюджета города Липецка, уточнено в январе 2026 года.</w:t>
      </w:r>
    </w:p>
    <w:p w:rsidR="00BC0D2E" w:rsidRDefault="00105CF4">
      <w:pPr>
        <w:spacing w:after="120"/>
        <w:jc w:val="both"/>
      </w:pPr>
      <w:r>
        <w:rPr>
          <w:rFonts w:ascii="Arial" w:eastAsia="Arial" w:hAnsi="Arial" w:cs="Arial"/>
          <w:color w:val="000000"/>
          <w:sz w:val="28"/>
          <w:szCs w:val="28"/>
        </w:rPr>
        <w:t> </w:t>
      </w:r>
    </w:p>
    <w:p w:rsidR="00BC0D2E" w:rsidRDefault="00105CF4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поступлений доходов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</w:p>
    <w:p w:rsidR="00BC0D2E" w:rsidRDefault="00105CF4">
      <w:pPr>
        <w:ind w:firstLine="720"/>
        <w:jc w:val="center"/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 </w:t>
      </w:r>
    </w:p>
    <w:tbl>
      <w:tblPr>
        <w:tblW w:w="10215" w:type="dxa"/>
        <w:tblInd w:w="-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2340"/>
        <w:gridCol w:w="1445"/>
        <w:gridCol w:w="1295"/>
        <w:gridCol w:w="1212"/>
        <w:gridCol w:w="2033"/>
      </w:tblGrid>
      <w:tr w:rsidR="00BC0D2E">
        <w:trPr>
          <w:trHeight w:val="825"/>
        </w:trPr>
        <w:tc>
          <w:tcPr>
            <w:tcW w:w="1888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Код доходов</w:t>
            </w:r>
          </w:p>
        </w:tc>
        <w:tc>
          <w:tcPr>
            <w:tcW w:w="2338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444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Утвержденные бюд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жетные назначения (план)</w:t>
            </w:r>
          </w:p>
        </w:tc>
        <w:tc>
          <w:tcPr>
            <w:tcW w:w="1294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Поступления (факт)</w:t>
            </w:r>
          </w:p>
        </w:tc>
        <w:tc>
          <w:tcPr>
            <w:tcW w:w="121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Отклонение (факт-план)</w:t>
            </w:r>
          </w:p>
        </w:tc>
        <w:tc>
          <w:tcPr>
            <w:tcW w:w="203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отклонений</w:t>
            </w:r>
          </w:p>
        </w:tc>
      </w:tr>
      <w:tr w:rsidR="00BC0D2E">
        <w:trPr>
          <w:trHeight w:val="1118"/>
        </w:trPr>
        <w:tc>
          <w:tcPr>
            <w:tcW w:w="1888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11302994040000130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144 586,66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144 586,66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Возмещение затрат по исполнительным документам, доходы носят не системный характер, прогнозирование плановых назначений </w:t>
            </w:r>
            <w:hyperlink r:id="rId4">
              <w:r>
                <w:rPr>
                  <w:rStyle w:val="a4"/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none"/>
                </w:rPr>
                <w:t>не представляется возможным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BC0D2E">
        <w:trPr>
          <w:trHeight w:val="600"/>
        </w:trPr>
        <w:tc>
          <w:tcPr>
            <w:tcW w:w="1888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.11701040040000180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43 533,48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43 533,48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Невыясненные поступления, уточены в январе 2026 года</w:t>
            </w:r>
          </w:p>
        </w:tc>
      </w:tr>
    </w:tbl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ind w:firstLine="420"/>
        <w:jc w:val="both"/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      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ф. 0503127 уточненные плановые показатели по расходам на 01.01.2026г.  в сумме 21 171 400,00 рублей, исполнены в объеме 20 890 695,81 рублей.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0503128 "Отчет о бюджетных обязательствах"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пределах плановых показателей и лимитов были приняты 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джетные обязательства в сумме 21 098 432,47 рублей.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Денежные обязательства в сумме 20 890 695,81 рублей приняты в пределах лимитов и бюджетных обязательств. Не исполнены принятые бюджетные обязательства в сумме 207 736,66 рублей (экономия по принятым обяз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ательствам: по заработной плате, за услуги по вывозу мусора в местах несанкционированной торговли, за услуги по демонтажу нестационарных объектов).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разделе 3 отражены плановые назначения и лимиты 2026-2028 годов в сумме 67 670 700,00 рублей.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разделе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гр.7 отражены принятые обязательства финансовых годов, следующих за текущим (отчетным) финансовым годом, всего: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tbl>
      <w:tblPr>
        <w:tblW w:w="1000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3"/>
        <w:gridCol w:w="2897"/>
        <w:gridCol w:w="1906"/>
        <w:gridCol w:w="3419"/>
      </w:tblGrid>
      <w:tr w:rsidR="00BC0D2E">
        <w:trPr>
          <w:trHeight w:val="600"/>
        </w:trPr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ind w:left="3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 период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исполнения</w:t>
            </w:r>
          </w:p>
        </w:tc>
        <w:tc>
          <w:tcPr>
            <w:tcW w:w="28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Бюджетная классификация</w:t>
            </w:r>
          </w:p>
        </w:tc>
        <w:tc>
          <w:tcPr>
            <w:tcW w:w="19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обязательства</w:t>
            </w:r>
          </w:p>
        </w:tc>
        <w:tc>
          <w:tcPr>
            <w:tcW w:w="3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(цель обязательства)</w:t>
            </w:r>
          </w:p>
        </w:tc>
      </w:tr>
      <w:tr w:rsidR="00BC0D2E">
        <w:trPr>
          <w:trHeight w:val="600"/>
        </w:trPr>
        <w:tc>
          <w:tcPr>
            <w:tcW w:w="1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0113 0210200110121 211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669 029,90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 отпуска</w:t>
            </w:r>
          </w:p>
        </w:tc>
      </w:tr>
      <w:tr w:rsidR="00BC0D2E">
        <w:trPr>
          <w:trHeight w:val="600"/>
        </w:trPr>
        <w:tc>
          <w:tcPr>
            <w:tcW w:w="1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0113 0210200110129 213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202 047,02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 отпуска</w:t>
            </w:r>
          </w:p>
        </w:tc>
      </w:tr>
      <w:tr w:rsidR="00BC0D2E">
        <w:trPr>
          <w:trHeight w:val="876"/>
        </w:trPr>
        <w:tc>
          <w:tcPr>
            <w:tcW w:w="1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0113 9990003050244 226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517 166,66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услуг по хранению продовольственных товаров и их доставка к месту назначения (ООО Рыболов-Охотник: МК №883 от 29.12.2025г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298 333,33 рублей, МК №884 от 29.12.2025г. - 218 833,33 рублей)</w:t>
            </w:r>
          </w:p>
        </w:tc>
      </w:tr>
      <w:tr w:rsidR="00BC0D2E">
        <w:trPr>
          <w:trHeight w:val="600"/>
        </w:trPr>
        <w:tc>
          <w:tcPr>
            <w:tcW w:w="1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1 388 243,58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spacing w:line="360" w:lineRule="auto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0503164 "Сведения об исполнении бюджета"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В разделе "Доходы бюджета" на 01.01.2026 год утвержденные бюджетные назначения составляют 19 694 000,00 рублей, исполнено 19 359 363,26 рублей (98,30%).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Отклонение от планового процента исполнения бюджетных данных составляет: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КБК 111090800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40000120 -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кругов, и на землях или земельных участках, государственная собственность на которые не разграничена" в сумме (-) 522 756,88 рублей.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Расхождения сложилось в силу того, что оплата по договорам производится не своевременно. С должниками ведется работа по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гашению образовавшейся задолженности.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- по КБК 11302994040000130 - «Прочие доходы от компенсации затрат бюджетов городских округов» в сумме 144 586,66 рублей 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49 500,00 рублей поступление от Загуменнова А.М., исполнительный документ от 24.12.2024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ВС 101382798; 10 000,00 рублей поступление от Гридиной И.И., исполнительный документ от 18.11.2024 № ФС 047089154); 49 500,00 рублей поступление от Гридиной И.И, исполнительный документ от 18.03.2025 № ВС 104141027; 35 586,66 рублей поступление от Гаспа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рян М.О. - возмещение расходов, понесенных при перемещении (переносе) объекта);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по КБК 11701040040000180 - «Невыясненные поступления» в сумме 43 533,48 рублей в связи с отсутствием прогнозных показателей (13.01.2025 г. (-)1 003,00 рублей уточнение плате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 2024 года от контрагента Викторовой А.В. уведомлением об уточнении вида и принадлежности платежа №7 от 10.01.2025 уточнено 02.07.2025г.; 25.12.2025г. - 44 536,48 рублей - возврат положительного сальдо в счет доходов бюджета города Липецка, уточнено в 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варе 2026 года).</w:t>
      </w:r>
    </w:p>
    <w:p w:rsidR="00BC0D2E" w:rsidRDefault="00105CF4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Исполнение бюджета по расходам составляет 20 890 695,81 рублей при бюджетных назначениях 21 171 400,00 рублей (98,67%).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Отклонение от планового процента исполнения бюджетных данных по расходам составляет: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   - 0113 0210199999,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выделено 1 265 000,00 рублей, процент исполнения 89,27%, неисполнение в сумме (-) 135 695,29 рублей в связи с оплатой работ "по факту" на основании акта выполненных работ.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          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"Анализ показателей бухгалтерской отчетности субъекта б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юджетной отчетности"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ф.0503110 "Справка по заключению счетов бюджетного учета отчетного финансового года"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 показатели фактических доходов: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140110129 в сумме 19 216 223,55 рублей - начисленные доходы за предоставление права на разме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 и эксплуатацию нестационарного торгового объекта;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140110134 в сумме 85 086,66 рублей - начисленные доходы от компенсации затрат бюджетов городских округов по исполнительным листам;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140110182 в сумме 60,00 рублей - аренда НТО Пав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ильон (Космонавтов, 28) по инвестиционному договору от 14.02.2022 № 1;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140110192 в сумме 16 283,66 рублей - передача имущества в целях благотворительности от 25.03.2025 договор б/н от ООО "Кузьминки";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040110173 в сумме 3 356 231,94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блей - списание безнадежной к взысканию задолженности.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- по счету 040120000 фактическим расходам по бюджетной классификации расходов в сумме 21 148 529,42 рублей, что соответствует расходам, отраженным по стр.150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ф.0503121 "Отчет о финансовых ре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зультатах деятельности".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0503110 расшифровка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КОСГУ 173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(-)3 356 231,94 рублей отражено списание безнадежной к взысканию задолженности на основании решения о проведении инвентаризации от 25.09.2025г. №2.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0503121 "Отчет о финансовых рез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ультатах деятельности"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 Отражены финансовые результаты деятельности управления. По строке 010 отражены доходы в сумме 15 961 421,93 рублей.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    Расхождение кассовых и фактических расходов: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КОСГУ 211 в сумме 214 705,26 рублей - сумма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резервов предстоящих расходов.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 КОСГУ 213 в сумме 64 840,94 рублей - сумма резервов предстоящих расходов.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  КОСГУ 221 в сумме 9 379,61 рублей - сумма дебиторской задолженности.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 КОСГУ 226 в сумме 46 360,00 рублей - сумма дебиторской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КОСГУ 246 в сумме 16 283,66 рублей - сумма передачи имущества в целях благотворительности от 25.03.2025 договор б/н от ООО "Кузьминки". 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КОСГУ 310 в сумме 22 499,00 рублей - сумма приобретения МФУ.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 КОСГУ 340 в сумме 173 43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4,26 рублей - сумма приобретения канцтоваров, бумаги, воды.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 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0503130 "Баланс" </w:t>
      </w:r>
    </w:p>
    <w:p w:rsidR="00BC0D2E" w:rsidRDefault="00105CF4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Показатели остатков ф. 0503130 баланса по счетам нефинансовых активов соответствуют остаткам на начало и конец отчетного периода ф.0503168 «Сведения о движении нефинансовых активов».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остатков актива ф.0503130 счета 020600000 и 020800000 соотв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етствуют показателям ф.0503169 "Сведения по дебиторской задолженности".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остатков пассива ф.0503130 баланса счета 030200000 соответствуют показателям ф.0503169 "Сведения по кредиторской задолженности".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строке 251 на начало года отражена долгос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рочная задолженности в сумме 104 322 470,60 рублей, на конец года долгосрочная задолженность составила 79 081 262,17 рублей.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счету 140160000 отражены резервы предстоящих расходов в сумме 871 076,92 рублей.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справке к балансу ф.0503130 отражены: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ете 01 в сумме 497 366,75 рублей, а именно: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1.Нежилое здание ул. Советская, д №1 на сумму 160 137,18 рублей;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Монитор, МФУ, принтер, системный блок, сканер на сумму 337 229,57 рублей;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счете 02 в сумме 17,00 рублей - (НТО павильоны);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счете 04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171 360,00 рублей - сомнительная задолженность по неналоговым доходам.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17 отражены средства, поступающие во временное распоряжение в сумме 432 095,34 рублей.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18 отражены возврат обеспечений гарантийных обязательств в сумме 451 597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21 отражены основные средства в эксплуатации в сумме 490 972,38 рублей (мебель, калькуляторы, ИБП, телефонные аппараты).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0503168 "Сведения о движении нефинансовых активов" </w:t>
      </w:r>
    </w:p>
    <w:p w:rsidR="00BC0D2E" w:rsidRDefault="00105CF4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В разделе 1 «Нефинансовые активы» на начало 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сумма основных средств составляет 935 930,02 рублей, на конец 2025г. на сумму 958 429,02 рублей, из них: 211 704,03 рублей - машины и оборудование, 746 724,99 рублей - инвентарь производственный и хозяйственный.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В стр.010 гр.5 отражено поступлени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 отчетном периоде машин и оборудования (МФУ лазерное Xerox WorkCentre 3025NI) на сумму 22 499,00 рублей.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Сумма амортизации на начало 2025 г. составила 935 930,02 рублей. На конец 2025 г. амортизация основных средств составила 958 429,02 рублей.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стр.070 гр. 5 показано увеличение на сумму 22 499,00 рублей (МФУ лазерное Xerox WorkCentre 3025NI) гр. 8 выбытие на сумму 22 499,00 рублей.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Остатка вложений в основные средства на конец 2025 года нет.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 На начало 2025 г. остаток материальных запасов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составлял 4 256 296,66 рублей. По гр. 4б исправление ошибок прошлых лет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ошибочным списанием тары в 2024 году отражено восстановление на баланс бутылей 19-л в количестве 4 штук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Поступлений материальных запасов отражено на сумму 189 717,92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(вода, бумага офисная, канцелярские товары, хоз. товары), в том числе получено безвозмездно на сумму 16 283,66 рублей (чипсы мясные). Списание материальных запасов в 2025 г. составило на сумму 188 642,06 рублей (канцелярские товары, бумага офисная, вода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питьевая, хоз. товары),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том числе передано безвозмездно на сумму 16 283,66 рублей (чипсы мясные). Остаток материальных запасов на конец 2025 г. составил 4 257 372,52 рублей.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На начало 2025 г. по строке 260, 262 в сумме 300,00 рублей отражен закл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юченный Управлением потребительского рынка администрации г. Липецка инвестиционный договор № 1 от 14.02.2022 года с ООО "Мастер провиант", согласно которому нестационарный торговый павильон с оборудованием передан управлению потребительского рынка в безвоз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мездное пользование сроком на 5 лет. Данная номенклатура была отнесена на счет 1.01.31. На конец года сумма амортизации составила 220,00 рублей.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3 «Движение материальных ценностей на забалансовых счетах» показано движение по счетам: </w:t>
      </w:r>
    </w:p>
    <w:p w:rsidR="00BC0D2E" w:rsidRDefault="00105CF4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на начало отчетного периода отражена стоимость имущества, полученного в пользование на сумму 523 366,75 рублей, в том числе недвижимого имущества на сумму 160 137,18 рублей и движимого имущества на сумму 363 229,57 рублей. Выбытие материальных ценностей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составило 26 000,00 рублей - возврат из безвозмездного пользования системного блока в связи с выходом из строя (Администрации города Липецка на основании дополнительного соглашения к договору безвозмездного пользования имуществом б/н от 01.09.2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025 г.). </w:t>
      </w:r>
    </w:p>
    <w:p w:rsidR="00BC0D2E" w:rsidRDefault="00105CF4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на конец 2025 г.  по счету составляет 497 366,75 рублей.</w:t>
      </w:r>
    </w:p>
    <w:p w:rsidR="00BC0D2E" w:rsidRDefault="00105CF4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02 остаток на начало 2025 г. составляет 15,00 рублей. Поступлений отражено на сумму 2,00 рублей (кресло, стул). Остаток по счету на конец 2025 г. составляет на сумму 17,0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рублей.</w:t>
      </w:r>
    </w:p>
    <w:p w:rsidR="00BC0D2E" w:rsidRDefault="00105CF4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На забалансовом счете 21 наличие основных средств в эксплуатации на начало 2025 года составило 496 922,38 рублей. Выбытие за отчетный год отражено на сумму 5 950,00 рублей (кресло, стул). На конец 2025 года наличие основных средств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эксплуатации составило 490 972,38 рублей.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0503169 "Сведения по дебиторской и кредиторской задолженности"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Дебиторская задолженность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Дебиторская задолженность на 01.01.2026 года составляет 100 327 566,25 рублей, в том числе: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20529000 в сумме 100 226 760,75 рублей - задолженность по долгосрочным договорам на размещение нестационарных торговых объектов (киоски, павильоны), </w:t>
      </w:r>
    </w:p>
    <w:p w:rsidR="00BC0D2E" w:rsidRDefault="00105CF4">
      <w:pPr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них: долгосрочная - 79 081 262,17 рублей;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      просроченная – 2 232 399,00 рублей (ведется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тензионно-исковая работа по возврату денежных средств).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120821000 в сумме 54 445,50 рублей - выданные под отчет денежные документы (марки, конверты).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    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120626000 в сумме 46 360,00 рублей - оплата по ходатайству на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оведение экспертизы по делу № 2-2287/2025, Советского районного суда г. Липецка от 07.11.2025г. (экспертиза отменена, так как вторая сторона согласилась на мировое соглашение, суд деньги должен вернуть обратно).</w:t>
      </w:r>
    </w:p>
    <w:tbl>
      <w:tblPr>
        <w:tblW w:w="10965" w:type="dxa"/>
        <w:tblInd w:w="-124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11425"/>
      </w:tblGrid>
      <w:tr w:rsidR="00BC0D2E">
        <w:trPr>
          <w:trHeight w:val="300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                 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оборотов по поступлениям: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tbl>
            <w:tblPr>
              <w:tblW w:w="10920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"/>
              <w:gridCol w:w="2064"/>
              <w:gridCol w:w="711"/>
              <w:gridCol w:w="1480"/>
              <w:gridCol w:w="1132"/>
              <w:gridCol w:w="1417"/>
              <w:gridCol w:w="1581"/>
              <w:gridCol w:w="2126"/>
            </w:tblGrid>
            <w:tr w:rsidR="00BC0D2E">
              <w:trPr>
                <w:trHeight w:val="960"/>
              </w:trPr>
              <w:tc>
                <w:tcPr>
                  <w:tcW w:w="562" w:type="dxa"/>
                  <w:tcBorders>
                    <w:top w:val="single" w:sz="8" w:space="0" w:color="BFBFBF"/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КОСГУ</w:t>
                  </w:r>
                </w:p>
              </w:tc>
              <w:tc>
                <w:tcPr>
                  <w:tcW w:w="2064" w:type="dxa"/>
                  <w:tcBorders>
                    <w:top w:val="single" w:sz="8" w:space="0" w:color="BFBFBF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Код доходов</w:t>
                  </w:r>
                </w:p>
              </w:tc>
              <w:tc>
                <w:tcPr>
                  <w:tcW w:w="711" w:type="dxa"/>
                  <w:tcBorders>
                    <w:top w:val="single" w:sz="8" w:space="0" w:color="BFBFBF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Счет</w:t>
                  </w:r>
                </w:p>
              </w:tc>
              <w:tc>
                <w:tcPr>
                  <w:tcW w:w="1480" w:type="dxa"/>
                  <w:tcBorders>
                    <w:top w:val="single" w:sz="8" w:space="0" w:color="BFBFBF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ф.0503169 Дт   гр.7</w:t>
                  </w:r>
                </w:p>
              </w:tc>
              <w:tc>
                <w:tcPr>
                  <w:tcW w:w="1132" w:type="dxa"/>
                  <w:tcBorders>
                    <w:top w:val="single" w:sz="8" w:space="0" w:color="BFBFBF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ф.0503169 Кт   гр.5</w:t>
                  </w:r>
                </w:p>
              </w:tc>
              <w:tc>
                <w:tcPr>
                  <w:tcW w:w="1417" w:type="dxa"/>
                  <w:tcBorders>
                    <w:top w:val="single" w:sz="8" w:space="0" w:color="BFBFBF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ф.0503127 (поступление)</w:t>
                  </w:r>
                </w:p>
              </w:tc>
              <w:tc>
                <w:tcPr>
                  <w:tcW w:w="1418" w:type="dxa"/>
                  <w:tcBorders>
                    <w:top w:val="single" w:sz="8" w:space="0" w:color="BFBFBF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Отклонение (ф.169 Дт гр.7 + ф.169 Кт гр.5 - ф.127)</w:t>
                  </w:r>
                </w:p>
              </w:tc>
              <w:tc>
                <w:tcPr>
                  <w:tcW w:w="2126" w:type="dxa"/>
                  <w:tcBorders>
                    <w:top w:val="single" w:sz="8" w:space="0" w:color="BFBFBF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Причины</w:t>
                  </w:r>
                </w:p>
              </w:tc>
            </w:tr>
            <w:tr w:rsidR="00BC0D2E">
              <w:trPr>
                <w:trHeight w:val="1200"/>
              </w:trPr>
              <w:tc>
                <w:tcPr>
                  <w:tcW w:w="562" w:type="dxa"/>
                  <w:tcBorders>
                    <w:top w:val="nil"/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11109080040000120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205.29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 34 369 570,87 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 57 613,04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 19 171 243,12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15 255 940,79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уточнение суммы ранее начисленных администрируемых доходов будущих периодов по долгосрочных договорам аренды (переуступка договоров)</w:t>
                  </w:r>
                </w:p>
              </w:tc>
            </w:tr>
            <w:tr w:rsidR="00BC0D2E">
              <w:trPr>
                <w:trHeight w:val="675"/>
              </w:trPr>
              <w:tc>
                <w:tcPr>
                  <w:tcW w:w="562" w:type="dxa"/>
                  <w:tcBorders>
                    <w:top w:val="nil"/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11701040040000180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205.81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 64 115,86 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 43 533,48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 43 533,48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64 115,86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уточнены невыясненные платежи по доходам</w:t>
                  </w:r>
                </w:p>
              </w:tc>
            </w:tr>
            <w:tr w:rsidR="00BC0D2E">
              <w:trPr>
                <w:trHeight w:val="675"/>
              </w:trPr>
              <w:tc>
                <w:tcPr>
                  <w:tcW w:w="562" w:type="dxa"/>
                  <w:tcBorders>
                    <w:top w:val="nil"/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11302994040000130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209.34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 144 586,66 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 144 586,66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                         -  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уточнение сумм по возмещению расходов по судебным актам</w:t>
                  </w:r>
                </w:p>
              </w:tc>
            </w:tr>
            <w:tr w:rsidR="00BC0D2E">
              <w:trPr>
                <w:trHeight w:val="300"/>
              </w:trPr>
              <w:tc>
                <w:tcPr>
                  <w:tcW w:w="562" w:type="dxa"/>
                  <w:tcBorders>
                    <w:top w:val="nil"/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711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34 578 273,39 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101 146,52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19 359 363,26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pPr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15 320 056,65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BFBFBF"/>
                    <w:right w:val="single" w:sz="8" w:space="0" w:color="BFBFBF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C0D2E" w:rsidRDefault="00105CF4"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Кредиторская задолженность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Кредиторская задолженность на 01.01.2026 года перед контрагентами имеет текущий характер. Просроченной задолженности ГРБС не имеет, общая сумма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 составляет 143 502,58 рублей, в том числе:</w:t>
      </w:r>
    </w:p>
    <w:p w:rsidR="00BC0D2E" w:rsidRDefault="00105CF4">
      <w:pPr>
        <w:spacing w:line="276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- по счету 120529000 в сумме 98 966,10 рублей - расчеты по иным доходам от собственности (ведется работа по возврату денежных средств);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120581000 в сумме 44 536,48 рублей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невыясненные поступления, уточнены.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счету 140140000 на конец отчетного периода доходы будущих периодов составили 96 128 912,11 рублей: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Расшифровка показателей доходов будущих периодов 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871"/>
        <w:gridCol w:w="2092"/>
        <w:gridCol w:w="4851"/>
      </w:tblGrid>
      <w:tr w:rsidR="00BC0D2E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Счет бухгалтерского учета 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 на отчетную дату</w:t>
            </w:r>
          </w:p>
        </w:tc>
        <w:tc>
          <w:tcPr>
            <w:tcW w:w="5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образования</w:t>
            </w:r>
          </w:p>
        </w:tc>
      </w:tr>
      <w:tr w:rsidR="00BC0D2E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401.40.129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96 128 832,11</w:t>
            </w:r>
          </w:p>
        </w:tc>
        <w:tc>
          <w:tcPr>
            <w:tcW w:w="5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Начисление долгосрочных договоров аренды. </w:t>
            </w:r>
          </w:p>
        </w:tc>
      </w:tr>
      <w:tr w:rsidR="00BC0D2E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401.40.182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5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НТО Павильон (Космонавтов, 28) по инвестиционному договору от 14.02.2022 № 1) на право размещения нестационарного торгового объекта (кио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ски, павильоны)</w:t>
            </w:r>
          </w:p>
        </w:tc>
      </w:tr>
      <w:tr w:rsidR="00BC0D2E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96 128 912,11</w:t>
            </w:r>
          </w:p>
        </w:tc>
        <w:tc>
          <w:tcPr>
            <w:tcW w:w="5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счету 140160000 на конец отчетного периода резервы предстоящих расходов составили в сумме 871 076,92 рублей.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Расшифровка показателей резервов предстоящих расходов 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3797"/>
        <w:gridCol w:w="2314"/>
        <w:gridCol w:w="2705"/>
      </w:tblGrid>
      <w:tr w:rsidR="00BC0D2E"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Счет бухгалтерского учета 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 на отчетную дату</w:t>
            </w: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образования</w:t>
            </w:r>
          </w:p>
        </w:tc>
      </w:tr>
      <w:tr w:rsidR="00BC0D2E"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1.401.60.211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669 029,90</w:t>
            </w:r>
          </w:p>
        </w:tc>
        <w:tc>
          <w:tcPr>
            <w:tcW w:w="27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неиспользование количества дней отпуска согласно графика отпусков</w:t>
            </w:r>
          </w:p>
        </w:tc>
      </w:tr>
      <w:tr w:rsidR="00BC0D2E"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1.401.60.213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202 047,02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BC0D2E"/>
        </w:tc>
      </w:tr>
      <w:tr w:rsidR="00BC0D2E"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871 076,92</w:t>
            </w: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0503173 "Сведения об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изменении остатков валюты баланса"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ind w:firstLine="720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по корректировке показателей бюджетного учета (бюджетной отчетности)</w:t>
      </w:r>
    </w:p>
    <w:p w:rsidR="00BC0D2E" w:rsidRDefault="00105CF4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tbl>
      <w:tblPr>
        <w:tblW w:w="1011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563"/>
        <w:gridCol w:w="840"/>
        <w:gridCol w:w="668"/>
        <w:gridCol w:w="1059"/>
        <w:gridCol w:w="1376"/>
        <w:gridCol w:w="4086"/>
      </w:tblGrid>
      <w:tr w:rsidR="00BC0D2E">
        <w:trPr>
          <w:trHeight w:val="546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учреждения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2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показателей на начало отчетного года вступительного баланса согласно данным      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      Сведений об изменении остатков валюты баланса (ф. 0503173)</w:t>
            </w:r>
          </w:p>
        </w:tc>
      </w:tr>
      <w:tr w:rsidR="00BC0D2E">
        <w:trPr>
          <w:trHeight w:val="961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причины (Графа отчета)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Счет учета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Сумма корректировки, 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Причина возникновения 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ошибки</w:t>
            </w:r>
          </w:p>
        </w:tc>
      </w:tr>
      <w:tr w:rsidR="00BC0D2E">
        <w:trPr>
          <w:trHeight w:val="255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BC0D2E">
        <w:trPr>
          <w:trHeight w:val="359"/>
        </w:trPr>
        <w:tc>
          <w:tcPr>
            <w:tcW w:w="1011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коду причины 03</w:t>
            </w:r>
          </w:p>
        </w:tc>
      </w:tr>
      <w:tr w:rsidR="00BC0D2E">
        <w:trPr>
          <w:trHeight w:val="356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потребительского рынка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администрации города Липецка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03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(03.4)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110536000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 основании служебной записки № 116 от 01.12.2025 от учреждения в связи с ошибочным списанием тары в 2024 году произведено восстановление на баланс Бутыль 19-ти литровая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поликарбонатная 4шт.</w:t>
            </w:r>
          </w:p>
        </w:tc>
      </w:tr>
      <w:tr w:rsidR="00BC0D2E">
        <w:trPr>
          <w:trHeight w:val="356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120500000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120900000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65 039 818,93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C0D2E">
        <w:trPr>
          <w:trHeight w:val="356"/>
        </w:trPr>
        <w:tc>
          <w:tcPr>
            <w:tcW w:w="5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2.1.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  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03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(03.1)</w:t>
            </w: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250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 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1.205.29.000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65 518 914,47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Начисление доходов будущих периодов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долгосрочным договорам на размещение НТО. в связи с несвоевременной передачей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договоров, которые были на подписи у контрагента.</w:t>
            </w:r>
          </w:p>
        </w:tc>
      </w:tr>
      <w:tr w:rsidR="00BC0D2E">
        <w:trPr>
          <w:trHeight w:val="356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1.209.34.000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59 500,00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Начисленный доход прошлых лет по исполнительным листам в связи с несвоевременной передачей документов (доходы от компенсации затрат бюджетов городских округов).</w:t>
            </w:r>
          </w:p>
        </w:tc>
      </w:tr>
      <w:tr w:rsidR="00BC0D2E">
        <w:trPr>
          <w:trHeight w:val="356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(03.4)</w:t>
            </w: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1.205.29.000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-536 990,54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Ошибки, допущенные при отражении бухгалтерских записей на основании первичного учетного документа по долгосрочным договорам на размещение НТО.</w:t>
            </w:r>
          </w:p>
        </w:tc>
      </w:tr>
      <w:tr w:rsidR="00BC0D2E">
        <w:trPr>
          <w:trHeight w:val="356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1.205.74.000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-1 605,00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Ошибки, допущенные при отражении бухгалтерских записей 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основании первичного учетного документа по доходам от реализации имущества, находящегося в оперативном управлении (сдача лома).</w:t>
            </w:r>
          </w:p>
        </w:tc>
      </w:tr>
      <w:tr w:rsidR="00BC0D2E">
        <w:trPr>
          <w:trHeight w:val="314"/>
        </w:trPr>
        <w:tc>
          <w:tcPr>
            <w:tcW w:w="5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2.2.</w:t>
            </w: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120900000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64 981 923,93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C0D2E">
        <w:trPr>
          <w:trHeight w:val="356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03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(03.1)</w:t>
            </w: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1.205.29.00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spacing w:line="240" w:lineRule="atLeast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65 518 914,47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Начисление доходов будущих периодов по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долгосрочным договорам на размещение НТО в связи с несвоевременной передачей договоров, которые были на подписи у контрагента</w:t>
            </w:r>
          </w:p>
        </w:tc>
      </w:tr>
      <w:tr w:rsidR="00BC0D2E">
        <w:trPr>
          <w:trHeight w:val="356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(03.4)</w:t>
            </w: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1.205.29.000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-536 990,54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Ошибки, допущенные при отражении бухгалтерских записей на основании первичного учетного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документа по долгосрочным договорам на размещение НТО.</w:t>
            </w:r>
          </w:p>
        </w:tc>
      </w:tr>
      <w:tr w:rsidR="00BC0D2E">
        <w:trPr>
          <w:trHeight w:val="233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470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471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120500000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-77 558,72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C0D2E">
        <w:trPr>
          <w:trHeight w:val="233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(03.1)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105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1.205.29.000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-87 065,12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Начисление доходов будущих периодов по договорам на размещение НТО. в связи с несвоевременной передачей договоров,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которые были на подписи у контрагента.</w:t>
            </w:r>
          </w:p>
        </w:tc>
      </w:tr>
      <w:tr w:rsidR="00BC0D2E">
        <w:trPr>
          <w:trHeight w:val="366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(03.4)</w:t>
            </w: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05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9 506,40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Ошибки, допущенные при отражении бухгалтерских записей на основании первичного учетного документа по договорам на размещение НТО.</w:t>
            </w:r>
          </w:p>
        </w:tc>
      </w:tr>
      <w:tr w:rsidR="00BC0D2E">
        <w:trPr>
          <w:trHeight w:val="273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140140000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65 705 433,19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C0D2E">
        <w:trPr>
          <w:trHeight w:val="366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(03.1)</w:t>
            </w: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1.401.40.000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65 598 123,19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Начисление доходов будущих периодов по долгосрочным договорам на размещение НТО в связи с несвоевременной передачей договоров, которые были на подписи у контрагента.</w:t>
            </w:r>
          </w:p>
        </w:tc>
      </w:tr>
      <w:tr w:rsidR="00BC0D2E">
        <w:trPr>
          <w:trHeight w:val="366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03 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(03.4) </w:t>
            </w: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1.401.40.000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107 310,00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Ошибки,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допущенные при отражении бухгалтерских записей на основании первичного учетного документа по долгосрочным договорам на размещение НТО.</w:t>
            </w:r>
          </w:p>
        </w:tc>
      </w:tr>
      <w:tr w:rsidR="00BC0D2E">
        <w:trPr>
          <w:trHeight w:val="366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560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140130000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-586 855,54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Корректировка финансового результата</w:t>
            </w:r>
          </w:p>
        </w:tc>
      </w:tr>
      <w:tr w:rsidR="00BC0D2E">
        <w:trPr>
          <w:trHeight w:val="306"/>
        </w:trPr>
        <w:tc>
          <w:tcPr>
            <w:tcW w:w="10110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коду причины 07</w:t>
            </w:r>
          </w:p>
        </w:tc>
      </w:tr>
      <w:tr w:rsidR="00BC0D2E">
        <w:trPr>
          <w:trHeight w:val="634"/>
        </w:trPr>
        <w:tc>
          <w:tcPr>
            <w:tcW w:w="5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потребительского рынка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города Липецка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250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5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1.205.29.000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-50 593,00</w:t>
            </w:r>
          </w:p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Корректировка дебиторской задолженности по долгосрочным договорам на размещение НТО по акту внешней проверки Счетной палаты,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том числе краткосрочная дебиторская 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по договорам на размещение НТО по акту внешней проверки Счетной палаты в сумме 131 093,00 рублей</w:t>
            </w:r>
          </w:p>
        </w:tc>
      </w:tr>
      <w:tr w:rsidR="00BC0D2E">
        <w:trPr>
          <w:trHeight w:val="108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10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10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5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1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80 500,00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Корректировка дебиторской задолженности по долгосрочным договорам на размещение НТО 2023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акту внешней проверки Счетной палаты</w:t>
            </w:r>
          </w:p>
        </w:tc>
      </w:tr>
      <w:tr w:rsidR="00BC0D2E">
        <w:trPr>
          <w:trHeight w:val="435"/>
        </w:trPr>
        <w:tc>
          <w:tcPr>
            <w:tcW w:w="5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1.401.40.000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80 500,00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Корректировка начислений доходов будущих периодов по долгосрочным договорам на размещение НТО по акту внешней проверки Счетной палаты</w:t>
            </w:r>
          </w:p>
        </w:tc>
      </w:tr>
      <w:tr w:rsidR="00BC0D2E">
        <w:trPr>
          <w:trHeight w:val="435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560</w:t>
            </w:r>
          </w:p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140130000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-131 093,00</w:t>
            </w:r>
          </w:p>
        </w:tc>
        <w:tc>
          <w:tcPr>
            <w:tcW w:w="40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C0D2E" w:rsidRDefault="00105CF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Корректировка финансового результата</w:t>
            </w:r>
          </w:p>
        </w:tc>
      </w:tr>
    </w:tbl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 контроль: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ind w:left="-180"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конец отчетного периода показатели ф. 0503173 по строке 250 превышают показатели строки 251: по коду причины 03 на сумму 59 500,00 рублей по краткосрочным договорам - начисленный доход прошлых лет по исполнительным листам в связи с несвоевременной перед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ачей документов; по коду причины 07 на сумму 131 093,00 рублей - корректировка начислений доходов будущих периодов по долгосрочным договорам на размещение НТО по акту внешней проверки Счетной палаты. </w:t>
      </w:r>
    </w:p>
    <w:p w:rsidR="00BC0D2E" w:rsidRDefault="00105CF4">
      <w:pPr>
        <w:ind w:firstLine="7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0503175 "Сведения о принятых и неисполненны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обязательствах получателя бюджетных средств"</w:t>
      </w:r>
    </w:p>
    <w:p w:rsidR="00BC0D2E" w:rsidRDefault="00105CF4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отчете отражены неисполненные бюджетные обязательства в сумме 207 736,66 рублей. </w:t>
      </w:r>
    </w:p>
    <w:p w:rsidR="00BC0D2E" w:rsidRDefault="00105CF4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приняты обязательства по контрактам на сумму 689 273,85 рублей. Экономия средств составляет 135 360,78 рублей.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По счету 150227226 отражена сумма 517 166,66 рублей, из них: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МК №883 от 29.12.2025 - на оказание услуг по хранению, ротации (освежению) продовольственных и непродовольственных товаров и их доставке к месту назначения с ООО «РЫБОЛОВ-ОХОТНИК» на сумму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8 333,33 рублей;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МК №884 от 29.12.2025 на оказание услуг по хранению, ротации (освежению) продовольственных товаров и их доставке к месту назначения с ООО «РЫБОЛОВ-ОХОТНИК» на сумму 218 833,33 рублей. 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0503178 "Сведения об остатках денежных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средств на счетах получателя бюджетных средств"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На начало финансового года сумма средств во временном распоряжении на счетах в финансовом органе составила 223 770,16 рублей, на конец отчетного периода 204 268,50 рублей.</w:t>
      </w:r>
    </w:p>
    <w:p w:rsidR="00BC0D2E" w:rsidRDefault="00105CF4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C0D2E" w:rsidRDefault="00105CF4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5 "Прочие вопросы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деятельности субъекта бюджетной отчетности"</w:t>
      </w:r>
    </w:p>
    <w:p w:rsidR="00BC0D2E" w:rsidRDefault="00105CF4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В соответствии с приказом Министерства финансов РФ от 27.02.2018 №32н "Об утверждении федерального стандарта бухгалтерского учета для организаций государственного сектора "Доходы", а также положения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единой учетной политики, признание доходов осуществляется по методу начисления, в том числе доходы от штрафов (пеней, неустоек) признаются в бухгалтерском учете на дату возникновения требования к плательщику штрафов (пеней, неустоек). Доходы от штрафов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(пеней, неустоек) признаются в бухгалтерском учете в сумме, указанной в соответствующих документах. При безвозмездном получении объектов имущества прочие доходы от необменных операций признаются в бухгалтерском учете доходами текущего отчетного периода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безвозмездных поступлений по факту получения имущества от передающей стороны, в том числе в случае получения объектов нефинансовых активов от сектора госуправления по балансовой стоимости отраженной в актах приема-передачи.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 основных средств ведется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приказом Министерства финансов РФ от 31.12.2016г №257н "Об утверждении федерального стандарта бухгалтерского учета для организаций государственного сектора "Основные средства". Начисление амортизации осуществляется линейным способом. Сроки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олезного использования, выявление признаков обесценения, необходимость реклассификации определяется комиссией управления потребительского рынка администрации г.Липецка. Информация о наличии остатков и движении нефинансовых активов представлена в ф.0503168,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0503130.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материальных запасов осуществляется в соответствии с приказом Министерства финансов России от 07.12.2018г №256н "Об утверждении федерального стандарта бухгалтерского учета для организаций государственного сектора "Запасы". Согласно учетной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олитики оценка материальных запасов, приобретенных за плату, осуществляется по первоначальной (фактической) стоимости приобретения с учетом расходов, связанных с их приобретением. При одновременном приобретении нескольких видов материальных запасов 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распределяются пропорционально договорной цене приобретаемых материалов. 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   В управлении потребительского рынка администрации города Липецка в течение 2025 года были проведены мероприятия по внутреннему контролю в соответствии с приказом Министерс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 финансов РФ от 21.11.2019 № 196н "Об утверждении федерального стандарта внутреннего финансового аудита "Определения, принципы и задачи внутреннего финансового аудита", приказ от 28.12.2024г. № 94.</w:t>
      </w:r>
      <w:r>
        <w:rPr>
          <w:rFonts w:ascii="Calibri" w:eastAsia="Calibri" w:hAnsi="Calibri" w:cs="Calibri"/>
          <w:color w:val="000000"/>
        </w:rPr>
        <w:t>          </w:t>
      </w:r>
    </w:p>
    <w:p w:rsidR="00BC0D2E" w:rsidRDefault="00105CF4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решения о проведении инвентаризаций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25.09.2025 №2 в Управление потребительского рынка была проведена инвентаризация, по результатам которых излишки нефинансовых активов не выявлены. Недостач не выявлено.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 На основании письма от 19.01.2026г. №25Д-14-01-12 Управление потребительского 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 информирует, что по состоянию на 01.01.2026г. имеется: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просроченная дебиторская задолженность по счету 120529000 в сумме 2 232 399,00 рублей - плата, поступившая в рамках договора за предоставление права на размещение и эксплуатацию нестационарного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торгового объекта, установку и эксплуатацию (ведется претензионно-исковая работа по возврату денежных средств).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На основании письма от 22.01.2026г. №53Д-14-01-12 Управление потребительского рынка информирует, что по состоянию на 01.01.2026г. имее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тся: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cомнительная задолженность по неналоговым доходам по счету 04 в сумме 171 360,00 рублей;</w:t>
      </w:r>
    </w:p>
    <w:p w:rsidR="00BC0D2E" w:rsidRDefault="00105CF4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безнадежная задолженность отсутствует.</w:t>
      </w:r>
    </w:p>
    <w:p w:rsidR="00BC0D2E" w:rsidRDefault="00105CF4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При осуществлении формирования и (или) представления бюджетной отчетности средствами программных комплексов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автоматизации документы бюджетной отчетности, не имеющие числовых значений показателей и не содержащие пояснения, формируются и представляются с указанием отметки (статуса) "показатели отсутствуют". </w:t>
      </w:r>
    </w:p>
    <w:p w:rsidR="00BC0D2E" w:rsidRDefault="00105CF4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C0D2E" w:rsidRDefault="00105CF4">
      <w:pPr>
        <w:jc w:val="both"/>
      </w:pPr>
      <w:r>
        <w:rPr>
          <w:rFonts w:ascii="Calibri" w:eastAsia="Calibri" w:hAnsi="Calibri" w:cs="Calibri"/>
          <w:color w:val="000000"/>
        </w:rPr>
        <w:t> </w:t>
      </w:r>
    </w:p>
    <w:p w:rsidR="00BC0D2E" w:rsidRDefault="00BC0D2E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BC0D2E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BC0D2E"/>
        </w:tc>
      </w:tr>
      <w:tr w:rsidR="00BC0D2E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BC0D2E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Мамонов А. В.</w:t>
            </w:r>
          </w:p>
        </w:tc>
      </w:tr>
      <w:tr w:rsidR="00BC0D2E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C0D2E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C0D2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  <w:tr w:rsidR="00BC0D2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BC0D2E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  <w:tr w:rsidR="00BC0D2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BC0D2E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C0D2E" w:rsidRDefault="00BC0D2E">
            <w:pPr>
              <w:rPr>
                <w:sz w:val="24"/>
              </w:rPr>
            </w:pPr>
          </w:p>
        </w:tc>
      </w:tr>
      <w:tr w:rsidR="00BC0D2E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0D2E" w:rsidRDefault="00105CF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BC0D2E" w:rsidRDefault="00105CF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BC0D2E" w:rsidRDefault="00105CF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BC0D2E" w:rsidRDefault="00105CF4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Руководитель(Мамонов Антон Владимирович, Сертификат: 2CAA25A368546F1C010867703981DBBA, Действителен: с 31.01.2025 по 26.04.2026), Руководитель централизованной бухгалтерии(МАМОНОВА ИРИНА ЛЕОНИДОВНА, Сертификат: 00A6F3388EF69575A1175008A66D53DA2D, Действите</w:t>
      </w:r>
      <w:r>
        <w:rPr>
          <w:rFonts w:ascii="Times New Roman" w:eastAsia="Times New Roman" w:hAnsi="Times New Roman" w:cs="Times New Roman"/>
          <w:sz w:val="24"/>
          <w:szCs w:val="24"/>
        </w:rPr>
        <w:t>лен: с 25.12.2025 по 20.03.2027), Главный бухгалтер(Лазнева Наталия Валерьевна, Сертификат: 00B156CA8ED4B7E96A4323A69EEC6DCF27, Действителен: с 11.11.2025 по 04.02.2027), Руководитель планово-экономической службы(Мамонов Антон Владимирович, Сертификат: 008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271163CDC9D7443D5CA79810C3B01C7, Действителен: с 13.03.2025 по 06.06.2026)        </w:t>
      </w:r>
    </w:p>
    <w:sectPr w:rsidR="00BC0D2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2E"/>
    <w:rsid w:val="00105CF4"/>
    <w:rsid w:val="00BC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56A2A-4CCA-45F9-86FD-82A5A5A77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s\%25D0%25BD%25D0%25B5%20%25D0%25BF%25D1%2580%25D0%25B5%25D0%25B4%25D1%2581%25D1%2582%25D0%25B0%25D0%25B2%25D0%25BB%25D1%258F%25D0%25B5%25D1%2582%25D1%2581%25D1%258F%20%25D0%25B2%25D0%25BE%25D0%25B7%25D0%25BC%25D0%25BE%25D0%25B6%25D0%25BD%25D1%258B%25D0%25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5602</Words>
  <Characters>31933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Щенникова Елена Анатольевна</dc:creator>
  <cp:lastModifiedBy>Щенникова Елена Анатольевна</cp:lastModifiedBy>
  <cp:revision>2</cp:revision>
  <dcterms:created xsi:type="dcterms:W3CDTF">2026-05-04T06:55:00Z</dcterms:created>
  <dcterms:modified xsi:type="dcterms:W3CDTF">2026-05-04T06:55:00Z</dcterms:modified>
</cp:coreProperties>
</file>